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秦皇岛市体育场馆信息化管理服务系统</w:t>
      </w:r>
      <w:r>
        <w:rPr>
          <w:rFonts w:hint="eastAsia" w:ascii="方正小标宋简体" w:eastAsia="方正小标宋简体"/>
          <w:bCs/>
          <w:sz w:val="44"/>
          <w:szCs w:val="44"/>
        </w:rPr>
        <w:t>报价填报表</w:t>
      </w:r>
    </w:p>
    <w:tbl>
      <w:tblPr>
        <w:tblStyle w:val="4"/>
        <w:tblW w:w="937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088"/>
        <w:gridCol w:w="1100"/>
        <w:gridCol w:w="3767"/>
        <w:gridCol w:w="657"/>
        <w:gridCol w:w="886"/>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产品及服务</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服务层级</w:t>
            </w:r>
          </w:p>
        </w:tc>
        <w:tc>
          <w:tcPr>
            <w:tcW w:w="3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说明及参数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bookmarkStart w:id="0" w:name="_GoBack"/>
            <w:bookmarkEnd w:id="0"/>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01"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人体行为识别系统服务（客流统计及分析服务）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人体行为识别客流监测系统软件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运营层软件服务</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室内外场馆、体育中心、体育公园等进行客流监测，并进行数据汇总统计、客群分析、可视化呈现的管理。针对入场用户进行客流统计，能够有效统计每日人次、人数、属性占比，并能针对历史沉淀数据进行各维度分析处理。</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人体行为识别客流统计人脸抓拍机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运营层智能硬件</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1.400万星光级1/1.8” CMOS AI人脸客流统计筒型网络摄像机；2.设备应支持采用深度学习算法，以海量图片及视频资源为路基，通过机器自身提取目标特征，形成深层可供学习的目标图像。3.支持同时检测并且抓拍≧30张人脸；支持多种智能资源并行：人脸抓拍、客流统计、人脸识别，客流统计：结合智能跟踪算法分析行人的行为轨迹，从而精确计算出客流人数及行走方向（进出），并支持徘徊人员去重；4.人脸抓拍（正脸抓拍）：a)支持对运动人脸进行检测、跟踪、抓拍、评分、筛选，输出最优的人脸；b)支持人脸去误报、自定义侧脸过滤、最优抓拍人脸；c)支持对运动人脸进行抓拍，性别、年龄段、年龄、戴眼镜、戴帽子、戴口罩、表情识别；5.人脸识别：（人脸库合计≧9W）a)支持配置静态人脸库，至多10个库，进行特殊人员报警、内部人员客流去重；b)支持自主生成动态人脸库，对配置时间间隔内重复人员标记、客流去重；6.镜头: （变焦）2.8-12mm @ F1.2,水平视场角：99.0°~39.0°，垂直视场角：52.0°~22.0°，对角线视场角：118.0°~45.0°；7.宽动态: 超宽动态范围达≧120dB，室内逆光环境下监控；8.视频压缩标准: 不低于H.265/H.264 / MJPEG；10.存储功能: 支持Micro SD(即TF卡)/Micro SDHC /Micro SDXC卡(128GB或者256GB)断网本地存储及断网续传,NAS(NFS,SMB/CIFS均支持)；11.接口类型: 甩线；12.通讯接口: 不少于1个RJ45 10M / 100M /1000M自适应13.以太网口；RS-485；14.视频输出: 1Vp-p Composite Output(75Ω/CVBS)；15.电源输出: DC12V 200mA；16.音频接口: 音频输入：支持≧2路3.5mm JACK LINE IN； 音频输出：支持≧1路3.5mm JACK LINE OUT；17.报警接口: ≧3 输入，≧2 输出(报警输出最大支持AC/DC24V 1A）；18.Reset按键: 支持；19.工作温度和湿度: -30℃~60℃,湿度小于95%(无凝结)；20.电源供应: DC：12V±20% ，支持防反接保护；21.PoE：802.3at, class 4；22.电源接口类型: 三芯电源接口；功耗: DC： 12V, 1.3A, Max： 15.0W； PoE： (802.3at, 42.5V-57V), 0.3A to 0.4A，Max：17.0W；23.防护等级: 不低于IP66；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视频监控硬盘录像机+4T硬盘</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运营层智能硬件</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1U 380小机箱，配4TB专用硬盘/64MB(6Gb/秒 NCQ)/5900RPM/SATA3；1个HDMI，1个VGA，异源输出；2盘位，可满配6TB硬盘；1个千兆网口；1个USB2.0接口、1个USB3.0接口；输入带宽：80M；8路H.264、H.265接入；最大支持8×1080P解码；支持H.264、H.265解码；Smart 2.0/整机热备/ANR/智能检索/智能回放/车牌检索/人脸检索/热度图/客流量统计/分时段回放/超高倍速回放/双系统备份</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01"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87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视频远程核查系统（客流监控服务）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视频远程核查系统软件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运营层软件服务</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视频远程核查系统可通过网络摄像头和软件系统远程查看场馆内人员情况，是核验场馆运营情况的基础系统。支持通过PC端和手机端查看场馆实时情况，并可支持按天、小时查看历史视频。</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客流监控视频远程核查摄像机V1型</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运营层智能硬件</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1.200万星光级1/2.7”CMOS ICR日夜型半球型网络摄像机；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2.焦距及视场角: ≧2.8 mm@ F1.6，水平视场角：≧107.1°，垂直视场角：≧57°，对角线视场角：≧127.6°；4 mm@ F1.6，水平视场角：≧87.3°，垂直视场角：≧46.3°，对角线视场角：≧104.2°；6 mm@ F1.6，水平视场角：52.7°，垂直视场角：30.3°，对角线视场角：60.1°；8 mm@ F1.6，水平视场角：40.9°，垂直视场角：22.5°，对角线视场角：47.4°；调节角度: 水平：0°~360°；垂直：0°~75°；旋转：0°~360°;3.宽动态范围: 120 dB；4.视频压缩标准: 主码流：H.265/ H.264；子码流：.265/H.264/MJPEG；第三码流：H.265/H.264；5.最大图像尺寸: 不低于1920 × 1080；6.存储功能: NAS（NFS，SMB/CIFS均支持）；7.网络: ≧1个RJ45 10 M/100 M自适应以太网口；8.启动及工作温湿度: -30 ℃~60 ℃，湿度小于95%（无凝结）；9.供电方式: DC：12V±25%；PoE：802.3af；10.电源接口类型: </w:t>
            </w:r>
            <w:r>
              <w:rPr>
                <w:rStyle w:val="8"/>
                <w:rFonts w:eastAsia="宋体"/>
                <w:lang w:val="en-US" w:eastAsia="zh-CN" w:bidi="ar"/>
              </w:rPr>
              <w:t>Φ</w:t>
            </w:r>
            <w:r>
              <w:rPr>
                <w:rFonts w:hint="eastAsia" w:ascii="宋体" w:hAnsi="宋体" w:eastAsia="宋体" w:cs="宋体"/>
                <w:i w:val="0"/>
                <w:iCs w:val="0"/>
                <w:color w:val="000000"/>
                <w:kern w:val="0"/>
                <w:sz w:val="20"/>
                <w:szCs w:val="20"/>
                <w:u w:val="none"/>
                <w:lang w:val="en-US" w:eastAsia="zh-CN" w:bidi="ar"/>
              </w:rPr>
              <w:t>5.5 mm圆口；11.电流及功耗: DC：12 V，0.38 A，4.5 W Max；PoE：802.3af，36V~57V，0.15 A~0.10 A，5.5 W Max；12.补光: 最远可达30米；</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大数据统计接入显示终端V1型</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运营层智能硬件</w:t>
            </w:r>
          </w:p>
        </w:tc>
        <w:tc>
          <w:tcPr>
            <w:tcW w:w="3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43寸液晶屏，包含数据接入展示系统，支持场馆客流统计数据展示，支持场馆营业数据、会员数据、场地使用数据、灯光使用数据、场地视频直播等显示，可置于场馆前台或办公室使用</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运营层智能硬件</w:t>
            </w:r>
          </w:p>
        </w:tc>
        <w:tc>
          <w:tcPr>
            <w:tcW w:w="37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网络连接辅助设备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运营层智能硬件</w:t>
            </w:r>
          </w:p>
        </w:tc>
        <w:tc>
          <w:tcPr>
            <w:tcW w:w="37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运营管理设备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运维服务</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保障设备系统正常运行，统计汇总上传数据等相关工作</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99"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jc w:val="both"/>
        <w:rPr>
          <w:rFonts w:hint="eastAsia" w:ascii="方正小标宋简体" w:eastAsia="方正小标宋简体"/>
          <w:bCs/>
          <w:sz w:val="44"/>
          <w:szCs w:val="4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3"/>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YjM0OTdlNzk1NGViMmQ1ZGMzZDBjYWQ2MmRiYjQifQ=="/>
  </w:docVars>
  <w:rsids>
    <w:rsidRoot w:val="00000000"/>
    <w:rsid w:val="0793090B"/>
    <w:rsid w:val="07DA180A"/>
    <w:rsid w:val="0F2E21FC"/>
    <w:rsid w:val="1D63222D"/>
    <w:rsid w:val="55021B88"/>
    <w:rsid w:val="55B37073"/>
    <w:rsid w:val="69D9075E"/>
    <w:rsid w:val="7B8E35AF"/>
    <w:rsid w:val="7DF0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tabs>
        <w:tab w:val="center" w:pos="0"/>
      </w:tabs>
      <w:spacing w:line="360" w:lineRule="auto"/>
      <w:ind w:left="720" w:leftChars="0" w:hanging="720" w:firstLineChars="0"/>
      <w:outlineLvl w:val="1"/>
    </w:pPr>
    <w:rPr>
      <w:rFonts w:asciiTheme="majorAscii" w:hAnsiTheme="majorAscii" w:cstheme="majorBidi"/>
      <w:b/>
      <w:bCs/>
      <w:sz w:val="30"/>
      <w:szCs w:val="32"/>
    </w:rPr>
  </w:style>
  <w:style w:type="paragraph" w:styleId="3">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61"/>
    <w:basedOn w:val="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3</TotalTime>
  <ScaleCrop>false</ScaleCrop>
  <LinksUpToDate>false</LinksUpToDate>
  <CharactersWithSpaces>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2022-08-02T10:16:00Z</dcterms:created>
  <dc:creator>Administrator</dc:creator>
  <cp:lastModifiedBy>喜气羊阳</cp:lastModifiedBy>
  <dcterms:modified xsi:type="dcterms:W3CDTF">2022-08-02T10:58:44Z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8FE0BBB673FF4B49B0DEEB49ED6A3925</vt:lpwstr>
  </property>
</Properties>
</file>